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3F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25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2925A1">
        <w:rPr>
          <w:rFonts w:ascii="Times New Roman" w:hAnsi="Times New Roman" w:cs="Times New Roman"/>
          <w:b/>
          <w:sz w:val="24"/>
          <w:szCs w:val="24"/>
          <w:lang w:val="en-US"/>
        </w:rPr>
        <w:t>USTAKA</w:t>
      </w:r>
    </w:p>
    <w:p w:rsidR="007F5B3F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 w:fldLock="1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Pr="0044791A">
        <w:rPr>
          <w:rFonts w:ascii="Times New Roman" w:hAnsi="Times New Roman" w:cs="Times New Roman"/>
          <w:noProof/>
          <w:sz w:val="24"/>
          <w:szCs w:val="24"/>
        </w:rPr>
        <w:t>[1]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Z. Salim and E. Munadi, “INFO KOMODITI TANAMAN OBAT,” in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Badan Pengkajian dan Pengembangan Perdagangan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2017.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[2]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S. Arisonya, G. Wibisono, and G. Aditya, “Efektivitas Ekstrak Kunyit (Curcuma Domestica) Terhadap Jumlah Sel Makrofag dan Diameter pada Lesi Ulkus Traumatikus,”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B-Dent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1, no. 2, pp. 118–125, 2014.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[3]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C. Y. Shan and Y. Iskandar, “Studi Kandungan Kimia dan Aktivitas Farmakologi Tanaman Kunyit,”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Farmaka Suplemen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16, no. 2, pp. 547–555, 2018.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[4]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>C. Anggun W, “Budidaya Tanaman Kunyit (Curcuma domestica Val) dan Khasisatnya Sebagai Obat Tradisional di PT. Indmia Citra Tani Nusantara,” Universitas Sebelas Maret Surakarta, 2012.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[5]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H. T. Sihotang, “Sistem pakar untuk mendiagnosa penyakit pada tanaman jagung dengan metode bayes,”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Inform. Pelita Nusant.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3, no. 1, pp. 17–22, 2018.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[6]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M. H. Qamaruzzaman and Sam’ani, “Sistem Pakar Untuk Mendiagnosa Penyakit Mata Pada Manusia Menggunakan Teorema Bayes,”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Indones. J. Netw. Secur.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5, no. 4, pp. 7–11, 2016.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[7]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M. Silmi, E. A. Sarwoko, and Kushartantya, “Sistem Pakar Berbasis Web dan Mobile Web Untuk Mendiagnosis Penyakit Darah Pada Manusia Dengan Menggunakan Metode Inferensi Fordward Chaining,”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Masy. Inform.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4, no. 7, pp. 31–38, 2013.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[8]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W. Wardiana and V. V. Tobing, “Aplikasi Sistem Pakar Tes Kepribadian Berbasis Web,”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Inform. Sist. Kendali, dan Komput.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5, no. 2, pp. 99–103, 2011.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[9]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I. Russari, “SISTEM PAKAR DIAGNOSA PENYAKIT BATU GINJAL MENGGUNAKAN TEOREMA BAYES,”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Ris. Komput.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3, no. 1, pp. 18–22, 2016.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[10]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P. S. Ramadhan and U. F. S. Pane, “Analisis Perbandingan Metode (Certainty Factor , Dempster Shafer dan Teorema Bayes) untuk Mendiagnosa Penyakit Inflamasi Dermatitis Imun pada Anak,”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Sains dan Komput.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17, no. 2, pp. 151–157, 2018.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[11]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A. Y. Muniar and Ashari, “Penerapan sistem pakar dalam mendiagnosa hama dan penyakit tanaman jarak pagar dengan metode forward chaining,”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Teknol. Inf.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pp. 89–97, 2015.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[12]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F. Rahman, E. P. W. Mandala, and T. A. Putra, “Perancangan aplikasi sistem pakar dengan menggunakan metode certainty factor untuk menentukan jenis gangguan disleksia berbasis web,”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Inkofar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1, no. 1, pp. 12–17, 2017.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[13]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Kusnadi, N. Sanjaya, and I. Muslihin, “SISTEM PAKAR DIAGNOSA PENYAKIT PARU PADA ANAK DENGAN METODE FORDWARD CHAINING,”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Digit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6, no. 1, pp. 66–77, 2016.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[14]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R. R. Permanawati and A. Yulianeu, “Sistem pakar untuk menentukan suatu peluang </w:t>
      </w:r>
      <w:r w:rsidRPr="0044791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usaha dengan menggunakan metode smarter dan oreste,”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JUMANTAKA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1, no. 1, pp. 31–40, 2018.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[15]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L. Septiana, “PERANCANGAN SISTEM PAKAR DIAGNOSA PENYAKIT ISPA DENGAN METODE CERTAINTY FACTOR BERBASIS ANDROID,”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TECHNO Nusa Mandiri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13, no. 2, pp. 89–95, 2016.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[16]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N. M. Shilvia and S. Rahayu, “Pengembangan sistem pakar diagnosa awal penyakit dalam internis berbasis android,”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Algoritm. Sekol. Tinggi Teknol. Garut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13, no. 2, pp. 356–366, 2016.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[17]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S. D. B. Mau, “Sistem Pendukung Keputusan Seleksi Beasiswa Menggunakan Teorema Bayes dan Dempster-Shafer,”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Pekommas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17, no. 1, pp. 23–32, 2014.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[18]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Bahar and D. W. Prataman, “Penerapan Teorema Bayes Dalam Sistem Pakar Untuk Konsultasi Siswa Bermasalah,”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JUTISI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6, no. 2, pp. 1449–1588, 2017.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[19]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>D. P. Provinsi Yogyakarta, “Kunyit (Curcuma domestica Val.),” 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[20]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N. E. Putri, “SISTEM PAKAR KERUSAKAN HARDWARE KOMPUTER DENGAN METODE FORDWARD CHAINING,”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J. Momentum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18, no. 2, pp. 53–59, 2016.</w:t>
      </w:r>
    </w:p>
    <w:p w:rsidR="007F5B3F" w:rsidRPr="0044791A" w:rsidRDefault="007F5B3F" w:rsidP="007F5B3F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</w:rPr>
      </w:pPr>
      <w:r w:rsidRPr="0044791A">
        <w:rPr>
          <w:rFonts w:ascii="Times New Roman" w:hAnsi="Times New Roman" w:cs="Times New Roman"/>
          <w:noProof/>
          <w:sz w:val="24"/>
          <w:szCs w:val="24"/>
        </w:rPr>
        <w:t>[21]</w:t>
      </w:r>
      <w:r w:rsidRPr="0044791A">
        <w:rPr>
          <w:rFonts w:ascii="Times New Roman" w:hAnsi="Times New Roman" w:cs="Times New Roman"/>
          <w:noProof/>
          <w:sz w:val="24"/>
          <w:szCs w:val="24"/>
        </w:rPr>
        <w:tab/>
        <w:t xml:space="preserve">J. S. D. Raharjo, D. Damiyana, and M. Hidayatullah, “Sistem Pakar Diagnosa Penyakit Lambung dengan Metode Forward Chaining Berbasis Android,” </w:t>
      </w:r>
      <w:r w:rsidRPr="0044791A">
        <w:rPr>
          <w:rFonts w:ascii="Times New Roman" w:hAnsi="Times New Roman" w:cs="Times New Roman"/>
          <w:i/>
          <w:iCs/>
          <w:noProof/>
          <w:sz w:val="24"/>
          <w:szCs w:val="24"/>
        </w:rPr>
        <w:t>Sisfotek Glob.</w:t>
      </w:r>
      <w:r w:rsidRPr="0044791A">
        <w:rPr>
          <w:rFonts w:ascii="Times New Roman" w:hAnsi="Times New Roman" w:cs="Times New Roman"/>
          <w:noProof/>
          <w:sz w:val="24"/>
          <w:szCs w:val="24"/>
        </w:rPr>
        <w:t>, vol. 6, no. 2, pp. 1–8, 2016.</w:t>
      </w:r>
    </w:p>
    <w:p w:rsidR="00BB228F" w:rsidRDefault="007F5B3F" w:rsidP="007F5B3F"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bookmarkStart w:id="0" w:name="_GoBack"/>
      <w:bookmarkEnd w:id="0"/>
    </w:p>
    <w:sectPr w:rsidR="00BB2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3F"/>
    <w:rsid w:val="00243ABB"/>
    <w:rsid w:val="007F5B3F"/>
    <w:rsid w:val="00A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3144</Characters>
  <Application>Microsoft Office Word</Application>
  <DocSecurity>0</DocSecurity>
  <Lines>26</Lines>
  <Paragraphs>7</Paragraphs>
  <ScaleCrop>false</ScaleCrop>
  <Company>Toshiba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 WIYATA DARMA</dc:creator>
  <cp:lastModifiedBy>SMA WIYATA DARMA</cp:lastModifiedBy>
  <cp:revision>1</cp:revision>
  <dcterms:created xsi:type="dcterms:W3CDTF">2020-09-14T06:56:00Z</dcterms:created>
  <dcterms:modified xsi:type="dcterms:W3CDTF">2020-09-14T06:57:00Z</dcterms:modified>
</cp:coreProperties>
</file>